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spacing w:val="0"/>
          <w:sz w:val="44"/>
          <w:szCs w:val="44"/>
        </w:rPr>
        <w:t>农机购置</w:t>
      </w:r>
      <w:r>
        <w:rPr>
          <w:rFonts w:hint="default" w:ascii="Times New Roman" w:hAnsi="Times New Roman" w:eastAsia="方正小标宋简体" w:cs="Times New Roman"/>
          <w:i w:val="0"/>
          <w:caps w:val="0"/>
          <w:spacing w:val="0"/>
          <w:sz w:val="44"/>
          <w:szCs w:val="44"/>
          <w:lang w:eastAsia="zh-CN"/>
        </w:rPr>
        <w:t>与应用</w:t>
      </w:r>
      <w:r>
        <w:rPr>
          <w:rFonts w:hint="default" w:ascii="Times New Roman" w:hAnsi="Times New Roman" w:eastAsia="方正小标宋简体" w:cs="Times New Roman"/>
          <w:i w:val="0"/>
          <w:caps w:val="0"/>
          <w:spacing w:val="0"/>
          <w:sz w:val="44"/>
          <w:szCs w:val="44"/>
        </w:rPr>
        <w:t>补贴投档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cap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spacing w:val="0"/>
          <w:sz w:val="44"/>
          <w:szCs w:val="44"/>
        </w:rPr>
        <w:t>违规行为处理情况表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</w:pPr>
    </w:p>
    <w:tbl>
      <w:tblPr>
        <w:tblStyle w:val="6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346"/>
        <w:gridCol w:w="1632"/>
        <w:gridCol w:w="1699"/>
        <w:gridCol w:w="1674"/>
        <w:gridCol w:w="1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生产企业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产品名称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机具型号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违规行为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郑州市祥喆农牧养殖设备有限公司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秸秆揉丝机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9ZR-4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  <w:t>档次投送有误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郑州德铭纳机械设备有限公司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揉丝机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9ZR-4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  <w:t>档次投送有误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8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开原市天诚干燥设备有限公司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粮食烘干机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5HSHN-200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eastAsia="zh-CN"/>
              </w:rPr>
              <w:t>档次投送有误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</w:rPr>
              <w:t>警告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i w:val="0"/>
          <w:caps w:val="0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AA541"/>
    <w:rsid w:val="DBDAA541"/>
    <w:rsid w:val="EFF58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2026-01-04T22:35:00Z</dcterms:created>
  <dc:creator>pc123</dc:creator>
  <cp:lastModifiedBy>pc123</cp:lastModifiedBy>
  <dcterms:modified xsi:type="dcterms:W3CDTF">2026-01-04T14:36:16Z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